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 xml:space="preserve">B.S., </w:t>
      </w:r>
      <w:r w:rsidRPr="00917AA5">
        <w:rPr>
          <w:lang w:val="ro-RO"/>
        </w:rPr>
        <w:t>Universitatea Bucuresti</w:t>
      </w:r>
      <w:r>
        <w:t>,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w:t>
      </w:r>
      <w:r w:rsidR="00E54E29">
        <w:t>abnormalities</w:t>
      </w:r>
      <w:r>
        <w:t xml:space="preserve"> reflect current adrenal hypoactivity, caused by exhaustion after preceding intense stimulation and hyperactivity.</w:t>
      </w:r>
    </w:p>
    <w:p w:rsidR="005B49F7" w:rsidRDefault="00B8613D" w:rsidP="00E54E29">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r w:rsidR="00E54E29">
        <w:t xml:space="preserve"> </w:t>
      </w:r>
      <w:r>
        <w:t xml:space="preserve">ectopic adipose deposits, kyphosis, </w:t>
      </w:r>
      <w:r w:rsidR="00E54E29">
        <w:t>amenorrhea</w:t>
      </w:r>
      <w:r>
        <w:t xml:space="preserve">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 xml:space="preserve">Today, we know that the truth was more nuanced. </w:t>
      </w:r>
      <w:r w:rsidR="00E54E29">
        <w:t>Hyper</w:t>
      </w:r>
      <w:r>
        <w:t>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 xml:space="preserve">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w:t>
      </w:r>
      <w:r w:rsidR="00464C2C">
        <w:t>hype</w:t>
      </w:r>
      <w:r>
        <w:t>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 xml:space="preserve">Despite being caused by a diverse set of HPA pathologies, CS is </w:t>
      </w:r>
      <w:r w:rsidR="00464C2C">
        <w:t>mostly</w:t>
      </w:r>
      <w:r>
        <w:t xml:space="preserve"> inva</w:t>
      </w:r>
      <w:r w:rsidR="00E54E29">
        <w:t>r</w:t>
      </w:r>
      <w:r>
        <w:t>iable in its ability to cause muscle impairment.</w:t>
      </w:r>
    </w:p>
    <w:p w:rsidR="005B49F7" w:rsidRDefault="00B8613D">
      <w:pPr>
        <w:pStyle w:val="Heading2"/>
        <w:ind w:left="11" w:right="1"/>
      </w:pPr>
      <w:r>
        <w:t>Glucocorticoid therapy</w:t>
      </w:r>
    </w:p>
    <w:p w:rsidR="005B49F7" w:rsidRDefault="00B8613D">
      <w:pPr>
        <w:ind w:left="15" w:right="15" w:firstLine="432"/>
      </w:pPr>
      <w:r>
        <w:t>A series of serendipitous decisions brought impressive knowledge about CS of non-pituitary etiology (reviewed in</w:t>
      </w:r>
      <w:r w:rsidR="00E54E29">
        <w:t xml:space="preserve"> </w:t>
      </w:r>
      <w:r>
        <w:t xml:space="preserve">[12]).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w:t>
      </w:r>
      <w:r w:rsidR="003B5EC8">
        <w:t>, and subsequent gl</w:t>
      </w:r>
      <w:r>
        <w:t>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 xml:space="preserve">In 1950, endogenous GCs corticosterone and cortisol, were synthesized at Merck[23], thus lowering the price and creating the opportunity for large-scale trials. The Empire Rheumatism Council organized a randomized trial comparing cortisone with </w:t>
      </w:r>
      <w:r w:rsidR="003B5EC8">
        <w:t>acetylsalicylate</w:t>
      </w:r>
      <w:r>
        <w:t xml:space="preserv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w:t>
      </w:r>
      <w:r w:rsidR="003B5EC8">
        <w:t>misleading.</w:t>
      </w:r>
    </w:p>
    <w:p w:rsidR="005B49F7" w:rsidRDefault="003B5EC8">
      <w:pPr>
        <w:ind w:left="15" w:right="15" w:firstLine="432"/>
      </w:pPr>
      <w:r>
        <w:t>By the end of this trial</w:t>
      </w:r>
      <w:r w:rsidR="00B8613D">
        <w:t>, the chemists were providing more effective and safe synthetic GCs (reviewed in [25]). While synthesizing ester</w:t>
      </w:r>
      <w:r w:rsidR="00F174BB">
        <w:t>s with a longer half-life, Sche</w:t>
      </w:r>
      <w:r w:rsidR="00B8613D">
        <w:t xml:space="preserve">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rsidR="00B8613D">
        <w:lastRenderedPageBreak/>
        <w:t xml:space="preserve">prednisolone versus </w:t>
      </w:r>
      <w:r w:rsidR="00F174BB">
        <w:t>acetylsalicylate</w:t>
      </w:r>
      <w:r w:rsidR="00B8613D">
        <w:t xml:space="preserve"> in rheumatoid arthritis, the GC provided better functional protection to the articulations[28].</w:t>
      </w:r>
    </w:p>
    <w:p w:rsidR="005B49F7" w:rsidRDefault="00B8613D" w:rsidP="00F174BB">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r w:rsidR="00F174BB">
        <w:t xml:space="preserve"> </w:t>
      </w:r>
      <w:r>
        <w:t>(granuloma) compared to cortisol.</w:t>
      </w:r>
    </w:p>
    <w:p w:rsidR="005B49F7" w:rsidRDefault="00B8613D">
      <w:pPr>
        <w:ind w:left="15" w:right="15" w:firstLine="432"/>
      </w:pPr>
      <w:r>
        <w:t>Dexa is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rsidP="00F174BB">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r w:rsidR="00F174BB">
        <w:t xml:space="preserve"> </w:t>
      </w: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rsidP="002A25F1">
      <w:pPr>
        <w:spacing w:after="3" w:line="265" w:lineRule="auto"/>
        <w:ind w:left="308" w:right="170"/>
        <w:jc w:val="center"/>
      </w:pPr>
      <w:r>
        <w:t>GCs have been used off-label in many other diseases. Most commonly, GCs</w:t>
      </w:r>
      <w:r w:rsidR="002A25F1">
        <w:t xml:space="preserve"> </w:t>
      </w:r>
      <w:r>
        <w:t>are pe</w:t>
      </w:r>
      <w:r w:rsidR="00F174BB">
        <w:t>rceived by physicians as a fall</w:t>
      </w:r>
      <w:r>
        <w:t xml:space="preserve">back therapeutic alternative for cerebral hypertensive conditions, despite sparse evidence for efficacy in specific conditions. Small trials suggest GCs reduce vasogenic cerebral edema[56] and </w:t>
      </w:r>
      <w:r>
        <w:lastRenderedPageBreak/>
        <w:t xml:space="preserve">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t>
      </w:r>
      <w:r w:rsidR="002A25F1">
        <w:t>that</w:t>
      </w:r>
      <w:r>
        <w:t xml:space="preserve">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 xml:space="preserve">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w:t>
      </w:r>
      <w:r w:rsidR="002A25F1">
        <w:t>notwithstanding</w:t>
      </w:r>
      <w:r>
        <w:t>.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w:t>
      </w:r>
      <w:r w:rsidR="002A25F1">
        <w:t>skin-bleaching</w:t>
      </w:r>
      <w:r>
        <w:t xml:space="preserve">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w:t>
      </w:r>
      <w:r w:rsidR="002A25F1">
        <w:t>side effects</w:t>
      </w:r>
      <w:r>
        <w:t xml:space="preserve">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rsidP="002A25F1">
      <w:pPr>
        <w:ind w:left="15" w:right="15" w:firstLine="432"/>
      </w:pPr>
      <w:r>
        <w:t xml:space="preserve">Other, less frequent causes of iatrogenic </w:t>
      </w:r>
      <w:r w:rsidR="002A25F1">
        <w:t>CS</w:t>
      </w:r>
      <w:r>
        <w:t xml:space="preserve"> include the interaction between low dose GC therapy and cytochrome P450 3A4 inhibitors, such as the antiretroviral ritonavir[74]. Other steroid drugs may interact with GR and cause CS when overdosed, as it is the case with the synthetic progestin megestrol</w:t>
      </w:r>
      <w:r w:rsidR="002A25F1">
        <w:t xml:space="preserve"> </w:t>
      </w:r>
      <w:r>
        <w:t>acetate[75].</w:t>
      </w:r>
    </w:p>
    <w:p w:rsidR="005B49F7" w:rsidRDefault="00B8613D">
      <w:pPr>
        <w:ind w:left="15" w:right="15" w:firstLine="432"/>
      </w:pPr>
      <w:r>
        <w:t xml:space="preserve">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w:t>
      </w:r>
      <w:r w:rsidR="002A25F1">
        <w:t>one</w:t>
      </w:r>
      <w:r>
        <w:t xml:space="preserve">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rsidP="002A25F1">
      <w:pPr>
        <w:spacing w:after="176" w:line="265" w:lineRule="auto"/>
        <w:ind w:left="419" w:right="10"/>
        <w:jc w:val="right"/>
      </w:pPr>
      <w:r>
        <w:t>There are differences between GC-induced cardiovascular changes, depending</w:t>
      </w:r>
      <w:r w:rsidR="002A25F1">
        <w:t xml:space="preserve"> </w:t>
      </w:r>
      <w:r>
        <w:t>on the nature of the GC. Endogenous GC</w:t>
      </w:r>
      <w:r w:rsidR="002A25F1">
        <w:t>s</w:t>
      </w:r>
      <w:r>
        <w:t xml:space="preserve">, such as cortisol, have hypertensive effects, while some synthetic GCs, Dexa included, lack such non-specific MR-dependent action. Nevertheless, excess exogenous and endogenous GC cause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w:t>
      </w:r>
      <w:r w:rsidR="009134AF">
        <w:t>. M</w:t>
      </w:r>
      <w:r>
        <w:t xml:space="preserve">ore detailed human pharmacodynamic studies are </w:t>
      </w:r>
      <w:r w:rsidR="009134AF">
        <w:t>needed</w:t>
      </w:r>
      <w:r>
        <w:t>.</w:t>
      </w:r>
    </w:p>
    <w:p w:rsidR="005B49F7" w:rsidRDefault="00B8613D">
      <w:pPr>
        <w:ind w:left="15" w:right="15" w:firstLine="432"/>
      </w:pPr>
      <w:r>
        <w:t xml:space="preserve">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w:t>
      </w:r>
      <w:r w:rsidR="009134AF">
        <w:t>electromyography</w:t>
      </w:r>
      <w:r>
        <w:t xml:space="preserve">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w:t>
      </w:r>
      <w:r w:rsidR="009134AF" w:rsidRPr="009134AF">
        <w:t xml:space="preserve"> In the present work, w</w:t>
      </w:r>
      <w:r w:rsidR="009134AF">
        <w:t>here animal models are examined</w:t>
      </w:r>
      <w:r>
        <w:t>,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[86]. However, the most significant predictor of clinical GAML is total dose[80, 87]. When GAML d</w:t>
      </w:r>
      <w:bookmarkStart w:id="0" w:name="_GoBack"/>
      <w:bookmarkEnd w:id="0"/>
      <w:r>
        <w:t xml:space="preserve">evelops, the amplitude of </w:t>
      </w:r>
      <w:r w:rsidR="009134AF">
        <w:t>electromyography</w:t>
      </w:r>
      <w:r>
        <w:t xml:space="preserve">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overlapping to a great extend.</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In an early study of chronic hypercortisolism, it was found that all types of fibers are affected by GC[95]. In more recent ones, a type-specific effect was found.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in [99]).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([100], and personal observation; data not shown). For comparison, maximum normal concentrations of endogenous cortisol in humans is 0</w:t>
      </w:r>
      <w:r>
        <w:rPr>
          <w:rFonts w:ascii="Cambria" w:eastAsia="Cambria" w:hAnsi="Cambria" w:cs="Cambria"/>
          <w:i/>
        </w:rPr>
        <w:t>.</w:t>
      </w:r>
      <w:r>
        <w:t>78 µM[101],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lines which do not require GC, such as those surviving in serum-free media, may be less accurate models of muscle.</w:t>
      </w:r>
    </w:p>
    <w:p w:rsidR="005B49F7" w:rsidRDefault="00B8613D">
      <w:pPr>
        <w:ind w:left="15" w:right="15" w:firstLine="432"/>
      </w:pPr>
      <w:r>
        <w:t>There are no published cases of increase in circulating myoglobin or creatin kinase in response to GC monotherapy, or as a consequence of Cushing’s disease.</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breakdown[102]. As little as 20 µg</w:t>
      </w:r>
      <w:r>
        <w:rPr>
          <w:rFonts w:ascii="Cambria" w:eastAsia="Cambria" w:hAnsi="Cambria" w:cs="Cambria"/>
        </w:rPr>
        <w:t>/</w:t>
      </w:r>
      <w:r>
        <w:t xml:space="preserve">kg cortisol infused over 8 hours increases by a quarter the rate of appearance of leucine into the bloodstream, suggestive of proteolysis upregulation[103]. Leucine’s rate of appearance is even higher when the GC-induced hyperinsulinemia is prevented, indicating that whole-body experiments do not capture the amplitude of the GC-induced </w:t>
      </w:r>
      <w:r>
        <w:lastRenderedPageBreak/>
        <w:t>proteolysis[104].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sources[105]. The same acute treatment causes an increase in 3-methylhistidine (3MH), a degradation product specific to muscle actin and myosin[106]. Similar increases in 3MH are seen with control diet in chronic GC excess of endogenous or exogenous nature[95]. These findings demonstrate that GC-induced loss of muscle mass is mediated by stimulation of protein degradation.</w:t>
      </w:r>
    </w:p>
    <w:p w:rsidR="005B49F7" w:rsidRDefault="00B8613D">
      <w:pPr>
        <w:ind w:left="15" w:right="15" w:firstLine="432"/>
      </w:pPr>
      <w:r>
        <w:t>The last three decades brought a better understanding of protein degradative pathways and of muscle atrophy. Two major proteolytic systems, the proteasome-ubiquitin system and the autophagosome (discussed in later sections), have been discovered and dissected. But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unprobed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rsidR="005B49F7" w:rsidRDefault="00B8613D">
      <w:pPr>
        <w:ind w:left="15" w:right="15" w:firstLine="432"/>
      </w:pPr>
      <w:r>
        <w:t>Recently, pharmacological inhibition of the proteasome become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rsidR="005B49F7" w:rsidRDefault="00B8613D">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bortezomib[111]. In another trial, addition of 20 mg Dexa to bortezomib lowered the rate of fatigue from 57% to 25%[112]. Taking into account the large variability between trials and the use of a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p>
    <w:p w:rsidR="005B49F7" w:rsidRDefault="00B8613D">
      <w:pPr>
        <w:spacing w:after="182" w:line="259" w:lineRule="auto"/>
        <w:ind w:left="25" w:right="15"/>
      </w:pPr>
      <w:r>
        <w:t>loss.</w:t>
      </w:r>
    </w:p>
    <w:p w:rsidR="005B49F7" w:rsidRDefault="00B8613D">
      <w:pPr>
        <w:ind w:left="15" w:right="15" w:firstLine="432"/>
      </w:pPr>
      <w:r>
        <w:t xml:space="preserve">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Chronic hydroxychloroquine therapy is known to induce muscle weakness and sporadic myopathy, through a distinct, vacuolar mechanism. The hydroxychloroquine-induced myopathy is associated with an increase in autophagosomal markers in muscle, demonstrating autophagosome’s importance in muscle regulation[115]. In two separate case reports, co-administration of prednisone and hydroxychloroquine led to vacuolar myopathy, </w:t>
      </w:r>
      <w:r>
        <w:lastRenderedPageBreak/>
        <w:t>which could be caused by the choice of doses, or could be indicative of true epistasis[116,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colleagues[107] found that three days of 65 mg / day prednisolone caused a non-significant 21% increase in protein synthesis rate and a statistically-significant 52% increase in the rate of protein degradation, based on the difference between arterial and venous levels of tritiated phenyl 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 muscle protein metabolism or muscle function”[118,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insulin[120], branched chain amino acids[121], and exercise[122].</w:t>
      </w:r>
    </w:p>
    <w:p w:rsidR="005B49F7" w:rsidRDefault="00B8613D">
      <w:pPr>
        <w:ind w:left="15" w:right="15" w:firstLine="432"/>
      </w:pPr>
      <w:r>
        <w:t>At a molecular level, it appears that Dexa inhibits anabolic signals centered on the Akt / mechanistic target of rapamycin (mTOR) axis. More evidence has been collected in animal models, and is discussed in a dedicated section. One study on humans described how Dexa inhibits branched chain amino acids’ ability to induce phosphorylation of eukaryotic translation initiation factor 4E (eIF4E) binding protein (4E-BP), isoform 1, and p70-S6K[123]. Dexa lacked similar action on another translation regulators, eIF2α.</w:t>
      </w:r>
    </w:p>
    <w:p w:rsidR="005B49F7" w:rsidRDefault="00B8613D">
      <w:pPr>
        <w:ind w:left="15" w:right="15" w:firstLine="432"/>
      </w:pPr>
      <w:r>
        <w:t>In addition to GC excess, muscle weakness is caused by GC withdrawal[124], and by GC deficiency, illustrated by the Addisonian crisis[125]. In both hyercortisolism and hypocortisolism, effects on human muscle remain understudied. Human studies concord that GC-induced loss of muscle force is an objective finding caused by an increased proteolytic activity. Indirect evidence indicate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pPr>
        <w:ind w:left="15" w:right="15" w:firstLine="432"/>
      </w:pPr>
      <w:r>
        <w:t>Second, the Victorian era is an age of body rediscovery. Georgian pastimes, such as cock fighting, horse racing, or cricket, are replaced by more muscular sports, such as football, rugby, gymnastics, and swimming. Body building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 [128]). Private sponsorship led to investment in androgen research, but with a focus on commercial rather than</w:t>
      </w:r>
    </w:p>
    <w:p w:rsidR="005B49F7" w:rsidRDefault="00B8613D">
      <w:pPr>
        <w:spacing w:after="182" w:line="259" w:lineRule="auto"/>
        <w:ind w:left="25" w:right="15"/>
      </w:pP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 xml:space="preserve">The belief in an male-secreted ergogenic substance inspired many commercial enterprises to sponsor research in male endocrinology, through the decades where the evidence was confined to changes in the combs of roosters. These dark ages end in 1927, McGee and Koch extract a lipophilic virilizing mixture from rooster testis[131, 132]. A pure and even more androgenic chemical is extracted in 1935 from bull testis by Laqueur, working for Organon[133].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 [134]). At the University of Chicago, Kenyon tests Testo on four eunuchoid patients of testicular and pituitary etiology. Daily injections of 25 mg testosterone propionate (Tp) cause an doubling in prostate and penis size[135] after less than two weeks, thus establishing the efficacy of Testo replacement therapy in men with pathological decreases in </w:t>
      </w:r>
      <w:r>
        <w:lastRenderedPageBreak/>
        <w:t>circulating Testo. With few, narrow exceptions, this population was and remains the only generally accepted, FDA-approved indication for Testo therapy[136,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outcome[137]. But in 18 years of life as experimental drugs, androgenic steroids have been trialled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 xml:space="preserve">The second dark age of Testo were times of limited knowledge, and even more limited adherence to the principles of clinical research. Yet in these years, </w:t>
      </w:r>
      <w:r>
        <w:lastRenderedPageBreak/>
        <w:t>androgenic steroids first gained their reputation as ergogens.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myopathy[145] and muscular dystrophy[146]. By 1940, Kenyon confirmed that Tp caused nitrogen retention, caused by increased protein accretion, even in healthy men and women[147]. Interestingly, in 1942, Samuels and colleagues state that Testo does not change grip strength in healthy males[148]. According to a meta-analysis[149] and my literature search, no other test of androgens’ effect on muscle strength is published until 1968. Despite the lack of evidence, androgens are used as ergogens in healthy people, starting with Olympic athletes around 1954[150].</w:t>
      </w:r>
    </w:p>
    <w:p w:rsidR="005B49F7" w:rsidRDefault="00B8613D">
      <w:pPr>
        <w:spacing w:line="259" w:lineRule="auto"/>
        <w:ind w:left="442" w:right="15"/>
      </w:pPr>
      <w:r>
        <w:t>As exemplified by the ergogenic hypothesis, benefits of androgen therapy on</w:t>
      </w:r>
    </w:p>
    <w:p w:rsidR="005B49F7" w:rsidRDefault="00B8613D">
      <w:pPr>
        <w:ind w:left="25" w:right="15"/>
      </w:pP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shows that the newly-discovered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administration[14]. Some of the aforementioned researchers publish similar case reports, sharing the small sample size and the use of surrogate outcomes[152].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spacing w:after="0" w:line="259" w:lineRule="auto"/>
              <w:ind w:left="0" w:right="0" w:firstLine="0"/>
            </w:pPr>
            <w:r>
              <w:t>Trilostane (EMA-approved, FDA-withdrawn)[154]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(FDA-approved)[155]</w:t>
            </w:r>
          </w:p>
        </w:tc>
      </w:tr>
    </w:tbl>
    <w:p w:rsidR="005B49F7" w:rsidRDefault="00B8613D">
      <w:pPr>
        <w:spacing w:line="329" w:lineRule="auto"/>
        <w:ind w:left="25" w:right="15"/>
      </w:pPr>
      <w:r>
        <w:t>Table 1: Pharmacological agents used in Cushing’s disease of unidentified ectopic, or diffuse localization (reviewed in [1,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have been greatly reduced. Despite a potential epidemic of covert hypercortisolism, with deleterious effects of life quality and expectancy, the interest for studies on hypercortisolism has largely waned. Clinical studies investigating the benefits of AAS in hyepercortisolism are scarce and small-scale. For example, there are no significant-size clinical studies analyzing the effect of AAS on the muscle strength of the endogenous CS patient.</w:t>
      </w:r>
    </w:p>
    <w:p w:rsidR="005B49F7" w:rsidRDefault="00B8613D">
      <w:pPr>
        <w:ind w:left="15" w:right="15" w:firstLine="432"/>
      </w:pPr>
      <w:r>
        <w:t xml:space="preserve">An unblinded trial observed AAS-induced increases in lean body mass and apendicular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pPr>
        <w:ind w:left="15" w:right="15" w:firstLine="432"/>
      </w:pPr>
      <w:r>
        <w:t>Muscle wasting is more common in males than in females with hypercortisolism[160]. The interaction of GC with endogenous AAS distinguishes male from female hypercortisolism, to the point that the two syndromes are</w:t>
      </w:r>
    </w:p>
    <w:p w:rsidR="005B49F7" w:rsidRDefault="00B8613D">
      <w:pPr>
        <w:spacing w:after="182" w:line="259" w:lineRule="auto"/>
        <w:ind w:left="25" w:right="15"/>
      </w:pPr>
      <w:r>
        <w:t>qualitatively different.</w:t>
      </w:r>
    </w:p>
    <w:p w:rsidR="005B49F7" w:rsidRDefault="00B8613D">
      <w:pPr>
        <w:ind w:left="15" w:right="15" w:firstLine="432"/>
      </w:pPr>
      <w:r>
        <w:t>The period when AAS were frequently used as therapy of CS or as adjuvant to high-dose GC pre-dates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[163, 164]. The mechanisms through which hypercortisolism causes hypoandrogenism are still to be elucidated. Some studies suggest that acute hypercortisolism downregulates the pituitary-secreted, </w:t>
      </w:r>
      <w:r>
        <w:lastRenderedPageBreak/>
        <w:t>T-upregulating, luteinizing hormone (LH)[165, 166, 167]. Others counter that GC induce hypoandrogenism even when LH is unchanged[168]. Another hypothesis is that the negative feedback loop repressing ACTH in hypercortisolism has a side effect of androgen suppression[169]. A few groups have even hypothesized the existence of another, still unknown hormone, synthesized from ACTH precursor, pro-opiomelanocortin (POMC), with the ability to stimulate androstenedione synthesis and secretion[170,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normal[173]. This has been explained as a CS-associated pituitary defect, with loss of LH response to stimulation by its hypothalamic regulator, gonadotropin-releasing hormone (GnRH)[173, 174]. Alternatively, others concluded that hypercortisolism impairs hypothalamic GnRH secretion[175]. Finally, a small study found that male asthma patients receiving long-term prednisone have lower circulating Testo levels despite increases in LH and FSH, and concluded that prednisone has an direct inhibitory action on the testes[176]. Despite disagreeing on the mechanism, all these studies agree that chronic hypercortisolism represses testicular androgen secretion.</w:t>
      </w:r>
    </w:p>
    <w:p w:rsidR="005B49F7" w:rsidRDefault="00B8613D">
      <w:pPr>
        <w:spacing w:after="0" w:line="419" w:lineRule="auto"/>
        <w:ind w:left="419" w:right="10"/>
        <w:jc w:val="right"/>
      </w:pPr>
      <w:r>
        <w:t xml:space="preserve">AAS therapy does not change circulating cortisol levels[177],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T[178]. DHEA and DHEAS, now termed adrenal androgen precursors (AAP), are upregulated by ACTH, through increased synthesis of DHEA in the adrenal and rapid bidirectional interconversion[179, 180]. Therefore, Cushing’s disease and other conditions associated with increases in ACTH will present with increases in AAPs, while primary hypercortisolism will be associated with ACTH repression and consequent AAP decrease[181, 182, 170, 183]. Both types of hypercortisolism manifest GAML, despite opposite effects on AAPs, suggesting that AAPs changes are not mediating GAML.</w:t>
      </w:r>
    </w:p>
    <w:p w:rsidR="005B49F7" w:rsidRDefault="00B8613D">
      <w:pPr>
        <w:ind w:left="15" w:right="15" w:firstLine="432"/>
      </w:pPr>
      <w:r>
        <w:t xml:space="preserve">In adult women, the regulation of AAS is more complex. During reproductive age and a few years afterwards, the main source of androgenic stimulation is the ovary[184], where Testo is an intermediate product in the synthesis of estrogens (reviewed in [185]). A feedback loop links LH and estrogens levels, with LH stimulating synthesis and secretion of estrogens from the developing and atretic follicles[186]. The reverse link is more complex, with estrogens inhibiting LH for most of the menstrual cycle[187], with the possible exception of ovulation. In the direct link, LH must stimulate ovarian Testo synthesis, but a reverse link, where Testo directly inhibits LH, is absent in women[188,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controlled[190, 191].</w:t>
      </w:r>
    </w:p>
    <w:p w:rsidR="005B49F7" w:rsidRDefault="00B8613D">
      <w:pPr>
        <w:ind w:left="15" w:right="15" w:firstLine="432"/>
      </w:pPr>
      <w:r>
        <w:t>This sexual dimorphism differentiates male and female AAS response to chronic hypercortisolism. Women with CS have lower muscle mass compared to general population [192]. Decreased libido, a sign of hypoandrogenism in both genders, is reported by 40% of female CS patients[63]. But, in contrast to males, females with CS have normal or even increased AAS synthesis and levels, compared to healthy controls [193, 194]. Four fifths of women with CS have menstrual irregularities, which has been attributed to hyperandrogenism, direct cortisol action, or depletion of LH or estradiol[175]. More than 75% of CS cases present with hirsutism, that is, male-patterned body and face hair growth in female patients, and a clear sign of hyperandrogenism[1, 63]. Women with</w:t>
      </w:r>
    </w:p>
    <w:p w:rsidR="005B49F7" w:rsidRDefault="00B8613D">
      <w:pPr>
        <w:ind w:left="25" w:right="15"/>
      </w:pPr>
      <w:r>
        <w:t>CS-related hirsutism have androgen levels higher than healthy controls[195].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age[196, 197]. Virilization signs such as change in voice, penile or clitoridian overgrowth, and hirsutism are common [198].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(AR)[199], the nuclear receptor specific for AAS at physiological concentrations. Because short-term Dexa inhibits AR expression in women’s muscle[200],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normal[201]. In this population, AAS therapy, even with low, “replacement” doses, causes an increase in muscle mass and force[202, 203]. The gain in muscle mass is caused mainly by an increase in protein synthesis, as evidenced by increased nonoxidative uptake of labeled leucine[203].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 xml:space="preserve">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patients[204, 205]. In the former, most of the muscle losses are reversed if exogenous Testo is co-administered. Chemical castration causes decreases in both protein synthesis and degradation[206],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hypogonadism[206], and by short-term, high-dose Dexa.</w:t>
      </w:r>
    </w:p>
    <w:p w:rsidR="005B49F7" w:rsidRDefault="00B8613D">
      <w:pPr>
        <w:ind w:left="15" w:right="15" w:firstLine="432"/>
      </w:pPr>
      <w:r>
        <w:t>Another well-studies group comprises older men, whose Testo levels and muscle mass are naturally declining[208, 209]. An argument has been made about benefits of Testo replacement therapy in this population. Multiple clinical studies tested this hypothesis. In older men with low bioavailable Testo, muscle mass and strength is improved by 200 mg Testo every other week[210, 211]. As in hypogonadal men, muscle recovery can be localized to the contractile cells, as indicated by increases in the CSA of fast- and slow-twitching fibers[212]. No evidence of fiber type switching or fiber type-specific effects in response to AAS therapy has been seen. Instead, histological studies reveal that elderly treated with AAS have significantly more satellite cells[212].</w:t>
      </w:r>
    </w:p>
    <w:p w:rsidR="005B49F7" w:rsidRDefault="00B8613D">
      <w:pPr>
        <w:ind w:left="15" w:right="15" w:firstLine="432"/>
      </w:pPr>
      <w:r>
        <w:t>Testo causes improvement in the net balance between protein synthesis and degradation at muscle level[213]. The cause of protein accretion is an increase in protein synthesis, as shown by an augmentation of mixed-muscle FSR[214].</w:t>
      </w:r>
    </w:p>
    <w:p w:rsidR="005B49F7" w:rsidRDefault="00B8613D">
      <w:pPr>
        <w:ind w:left="25" w:right="15"/>
      </w:pPr>
      <w:r>
        <w:t>Interestingly, some of this newly accrued protein is extracellular matrix, as indicated by the upregulation of circulating N-terminal propeptide of type III procollagen[215].</w:t>
      </w:r>
    </w:p>
    <w:p w:rsidR="005B49F7" w:rsidRDefault="00B8613D">
      <w:pPr>
        <w:ind w:left="15" w:right="15" w:firstLine="432"/>
      </w:pPr>
      <w:r>
        <w:lastRenderedPageBreak/>
        <w:t>Ferrando and colleagues made the case for an anti-catabolic action of AAS in older men[3].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Figure 1: Changes in proteasome enzymatic activity following 6 months of Testo therapy (reproduced from [3]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 xml:space="preserve">5α-dihydrotestosterone (DHT)[218]. Similar lack of effect was seen with dutasteride, a less specific inhibitor of 5α-reductase, added to exogenous Testo, in a younger, possibly less hypoandrogenic cohort[219]. In human males, conversion to DHT is not required or T’s regulation of muscle mass. Possibly </w:t>
      </w:r>
      <w:r>
        <w:lastRenderedPageBreak/>
        <w:t>more relevant, Testo upregulates IGF-I in the muscle and in the serum of the older men[213, 217].</w:t>
      </w:r>
    </w:p>
    <w:p w:rsidR="005B49F7" w:rsidRDefault="00B8613D">
      <w:pPr>
        <w:ind w:left="15" w:right="15" w:firstLine="432"/>
      </w:pPr>
      <w:r>
        <w:t>While women’s endogenous AAS levels are lower than men’s, it is unclear if benefits of Testo therapy outweigh the deleterious effects[220,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life[223]. Microarray analysis indicated that T-treated muscle upregulated, as expected, expression of genes from the IGF-I- and AR-stimulated signaling pathways[224].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myostatin[225, 226], or of the two E3 ligases typically associated with muscle loss, MAFbx and</w:t>
      </w:r>
    </w:p>
    <w:p w:rsidR="005B49F7" w:rsidRDefault="00B8613D">
      <w:pPr>
        <w:spacing w:after="182" w:line="259" w:lineRule="auto"/>
        <w:ind w:left="25" w:right="15"/>
      </w:pPr>
      <w:r>
        <w:lastRenderedPageBreak/>
        <w:t>MuRF1[227,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 known as mechanogrowth factor or IGF-IEc[232].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damage[233]. Some randomized trial showed that heart failure patients improve their muscle force with AAS therapy[234, 235]. However, a series of recent studies found deleterious cardiovascular effects of AAS[236,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(reviewed in [240]).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95%[241]. The collagen in muscle-associated connective tissue is mainly of types I and III (reticulin), with traces of type V collagen and fibronectin, while the most frequent proteoglycan is collagen I-binding decorin[242]. The external lamina is the equivalent of basement membranes in other tissues, an proteic structure surrounding each multinucleate, roughly tubular cell. The external lamina contains collagen IV, laminin, and heparan sulfates [243,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(reviewed in [245]).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muscle[246], although its sensitivity and specificity are yet to be established. Alternate sources of nuclei in the myofiber are subject of ongoing research, but their relative importance is expected to be minor at best (reviewed in [247]). A transplant of seven satellite cells from an adult mouse is capable of yielding more than a hundred multinucleate myofibers, thus demonstrating former’s ability to regenerate muscle[248]. The transformation of quiescent satellite cells to proliferating myoblast is regulated by the interplay of growth factors, external lamina, and contact with myofibers[249].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changes[250, 251]. Quail muscles depleted of proliferating cells by irradiation still undergo hypertrophy in response to stretch-overload[252]. These example of amitotic hypertrophy demonstrate that, in some circumstances, the number of nuclei and the pace of transcription are not limiting factors in muscle growth.</w:t>
      </w:r>
    </w:p>
    <w:p w:rsidR="005B49F7" w:rsidRDefault="00B8613D">
      <w:pPr>
        <w:ind w:left="15" w:right="15" w:firstLine="432"/>
      </w:pPr>
      <w:r>
        <w:t xml:space="preserve">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protein[253]. Therefore, any myofiber size change with functional relevance should correlate with changes in myosin II and actin protein content. In rat muscles, three days of streptozotocin-induced acute diabetes causes intramuscular formation of a actin degradation fragment[254].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In utero, the mesoderm, which is the source of muscle progenitor cells, undergoes segmentation and differentiation to form somites, dermomyotomes, and eventually myotomes (reviewed in [257]).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Pax3[258, 259]. Myf5 is a strong inductor of the muscle transcriptional program and phenotype, with the ability to convert embryonic fibroblasts to myosin-containing syncitia[260]. Cranial muscle formation is coordinated in a partly different manner, through the transcription factors T-box (Tbx) 1 and paired-like homeodomain (Pitx) 2 (reviewed in [261]). Once this early stage is completed, later fetal muscle progenitors converge to a phenotype remarkable for the expression of the MRF MyoD, due to stimulation by the transcription factor Pax7[262]. MyoD knockout mice are normal, with Myf5 supplanting its absence[263].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cycle[264].</w:t>
      </w:r>
    </w:p>
    <w:p w:rsidR="005B49F7" w:rsidRDefault="00B8613D">
      <w:pPr>
        <w:ind w:left="25" w:right="15"/>
      </w:pPr>
      <w:r>
        <w:t xml:space="preserve">Subsequent changes include expression of muscle-specific enzymes and contractile proteins[265], of a fourth MRF, the myogenic regulatory factor 4 </w:t>
      </w:r>
      <w:r>
        <w:lastRenderedPageBreak/>
        <w:t>(Mrf4)[266],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myotubes[267].</w:t>
      </w:r>
    </w:p>
    <w:p w:rsidR="005B49F7" w:rsidRDefault="00B8613D">
      <w:pPr>
        <w:ind w:left="15" w:right="15" w:firstLine="432"/>
      </w:pPr>
      <w:r>
        <w:t>In chick embryos, overexpression of IGF-I induces a rapid increase in the ratio of myoblast to myofiber nuclei, while fiber density is unchanged[268]. In addition to the hyperplastic effect, IGF-I stimulates protein anabolism in prenatal muscle[269]. Defects in IGF-1R signaling determine low birth weight and subsequent growth retardation in humans and transgenic mice, although it is unclear this is due to the mitotic or to the anabolic deficiency[270,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embryogenesis[272]. Experimental myostatin perturbations in chicken embryos alter the population of muscle precursor cells[273]. The few reports of viable human mutations in the myostatin gene concern newborns with unusual unusually large muscles, due to loss of function[274]. Nevertheless, myostatin defects appear to cause ampler changes in muscle mass after birth[275,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t>[280]. However, in longitudinal studies, human muscle mass, as estimated by body potassium, decreases in men and and stagnates in women over the age of 30[281]. As evidenced by studies such as the New Mexico Elder Health Survey, 1993-1995, with aging, loss of muscle mass accelerates [282].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muscle[283]. Moreover, the proportion of satellite cells with proliferating abilities decreases with age, as more of them approach the Hayflick limit[284].</w:t>
      </w:r>
    </w:p>
    <w:p w:rsidR="005B49F7" w:rsidRDefault="00B8613D">
      <w:pPr>
        <w:pStyle w:val="Heading2"/>
        <w:ind w:left="11" w:right="1"/>
      </w:pPr>
      <w:r>
        <w:t>Physiological muscle metabolism</w:t>
      </w:r>
    </w:p>
    <w:p w:rsidR="005B49F7" w:rsidRDefault="00B8613D">
      <w:pPr>
        <w:ind w:left="15" w:right="15" w:firstLine="432"/>
      </w:pPr>
      <w:r>
        <w:t xml:space="preserve">Muscle is a major energy user in the body, using fat during rest and glucose during exercise (reviewed in [285,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triglycerides[288]. Ongoing studies suggest that muscle oxidative (catabolic) uptake of NEFA is upregulated by peroxisome proliferator-activated receptor (PPAR) β/δ, which stimulates expression of the lipolysis rate-limiting enzyme, carnitine palmitoyltransferase I[289, 290]. This hypothesis is supported by fast- and exercise-induced upregulation of muscle PPAR δ[291, 292]. Moreover, PPAR δ overexpression leads to increase in type I fibers and subsequent resistance to high-fat diet[289].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adipocytes[293]. Some pre-adipocyte traits, such as upregulation of PPAR γ, Krüppel-like factor-15 (KLF-15), and CCAAT-enhancer-binding protein (C/EBP) β and δ ([294]; reviewed in [295]), may surface in cell culture experiments where muscle differentiation did not complete, and residual potential for adipogenesis remains (see, for example, [296]).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 xml:space="preserve">In humans, up to 90% of the glucose absorbed after a meal is removed from circulation by the skeletal muscles[297,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rate[300], while others claim that BCAA solely reduce protein degradation[301].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muscle[302]. One study investigated the action of BCAA at clamped normal insulin levels[303].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(p70-S6K)[304]. Interestingly, p70-S6K is a substrate of mTOR complex 1 (mTORC1), with the latter considered an integrator of nutrients, energy, and growth factor signaling (reviewed in [305]).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The degree to which energetic needs modulate BCAA usage appears to differ between humans and rats, reducing the validity of animal models (reviewed in [307]).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IL-6[310, 311, 312]. These signals are associated with increased proliferation of satellite cells and recruitment of neutrophils to the muscle[313, 314]. In the acute phase, the satellite cells colocalize with IGF-I[310]. The negative muscle regulator myostatin is not correlating with the phenotype, that is, it is not decreased by acute exercise[314, 315]. Acute exercise increases the fractional protein synthesis rate in muscle[316,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(reviewed in [319]).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normal[320]. On the other hand, long-term exercise induces the expression of catabolic markers, such as the E3 ligases MAFbx and MuRF1[321].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[322]). Although the studies are rather incomplete, it appears that, similar to exercise adaptations, injury triggers a burst of growth factors, probably including IGF-I, basic fibroblast growth factor (bFGF), and transforming growth factor-beta (TGF-β) ([323]).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factors[324].</w:t>
      </w:r>
    </w:p>
    <w:p w:rsidR="005B49F7" w:rsidRDefault="00B8613D">
      <w:pPr>
        <w:ind w:left="15" w:right="15" w:firstLine="432"/>
      </w:pPr>
      <w:r>
        <w:t>Less than half of the C2C12 cells in their proliferating, undifferentiated form, express MyoD or Pax7[325]. Limited evidence suggest these myoblast-like cells do not express Pax3 either[326].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muscle[327], while others demonstrating that its effect is limited to anti-catabolism[328]. In male rat muscle, 30 minutes in 30 nM insulin or IGF-I are equally able to stimulate protein synthesis and to inhibit protein degradation[329].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mice[330]. In contrast, insulin is secreted solely by the pancreas. Our understanding of the regulation of insulin secretion is improving, dispelling the simplistic view that nutrients alone are its sole modulators (reviewed in [331]).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 xml:space="preserve">The levels of bioavailable IGF-I are under complex regulation (reviewed in [334, 335]). IGF-I may be sequestered by IGF-I binding proteins (IGFBP), which are secreted by muscle under IGF-I stimulation ([336]).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signals[337]. IGF2 is irreplaceable in fetal development[338],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mRNA[339, 340], but protein data are lacking. Medium conditioned by GH-stimulated C2C12 cells fails to elicit hypertrophy in other C2C12 myotubes[341],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pseudohyertrophy[343]. Other hormones such as the parathormone, are likely to have small effects on muscle protein metabolism, essentially irrelevant outside their respective pathologies[344].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 xml:space="preserve">siblings[345].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It has been suggested that the most direct effect of VEGF-A depletion is partial segregation of muscle from blood-carried endocrine signals. For example, VEGF-A-depleted muscle has lower glucose uptake, a defect which is reversed by explantation [347]. In addition, vascularization defects may induce relative intramuscular hypoxia, which is an independent atrophying, pro-proteolytic factor[348].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(PGC-1)[350, 351]. Even in the absence of VEGF, PGC-1 coactivators facilitate mitochondria biosynthesis, leading to oxidative fiber hypertrophy and improvements in endurance capacity [352]. Therefore, it is difficult to distinguish VEGF-induced muscle changes from the common muscle remodeling program. Finally, VEGFR activation has multiple effects, including phosphorylation of Src family proteins[353], of phospholipase C (PLC) γ[354], and, indirectly, of regulatory subunits of PI3K[355] and of the Signal Transducers and Activators of Transcription (STAT) STAT3 and STAT5[356].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fibers[357]. Conversely, motoneuron precursors from the embryo spinal cord degenerate and die if they cannot engage in significant interactions with myofibers[358].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 [359]). For a few days after birth, rat motoneurons go into a particularly sensitive state, when axotomy determines motoneuron death[360]. Thence, axotomy elicits the reprogramming of the neuron into a less differentiated state, followed by axonal regrowth (reviewed in [361,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gravity[367]. In humans, after upper motoneuron damage, disuse response occurs in a few days after injury, and leads to exaggerated spasticity[368].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weight[370]. Fewer than one in 7,000 myofiber nuclei undergo apoptosis in this time[371],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 xml:space="preserve">In a seminal study, Goldberg demonstrated that denervation leads to increased loss of prelabeled muscle protein, proving that denervation upregulates protein degradation[372]. Moreover, denervation increases urinary 3MH, indicating activation of myofibril catabolism[373]. The rate of muscle loss in denervated muscle is halved by the proteasome inhibitor bortezomib[374]. Denervation stimulates persistently proteasome enzymatic activity[375], and </w:t>
      </w:r>
      <w:r>
        <w:lastRenderedPageBreak/>
        <w:t>upregulates all the ubiquitin-proteasome pathway components, including ubiquitin, the E3 ligases MuRF1 and MAbx, and the proteasomal subunit A1 [376, 227]. The upregulation of the E3 ligases is induced by multiple independent transcription factors, including myogenin and the Foxo class[377, 378, 379, 380].</w:t>
      </w:r>
    </w:p>
    <w:p w:rsidR="005B49F7" w:rsidRDefault="00B8613D">
      <w:pPr>
        <w:ind w:left="25" w:right="15"/>
      </w:pPr>
      <w:r>
        <w:t>In the first few days of denervation, myogenin is induced by histone deacetylase (HDAC) 4[381]. After the first week, Foxo activation is attributed to the downregulation of its negative regulator, Akt[379, 382].</w:t>
      </w:r>
    </w:p>
    <w:p w:rsidR="005B49F7" w:rsidRDefault="00B8613D">
      <w:pPr>
        <w:ind w:left="15" w:right="15" w:firstLine="432"/>
      </w:pPr>
      <w:r>
        <w:t xml:space="preserve">Because the mTOR inhibitor rapamycin prevents fiber hypertrophy that normally follows in vivo injections with a plasmid coding constitutively active Akt[382], the scientific community assumed, since the beginning of century, that denervation-induced Akt inactivation leads to loss of downstream mTOR-mediated effects (for example, [383, 384]). Recent studies contradicted this paradigm. In 2013, Quy and colleagues found that denervation increased Thr 389 phosphorylation and catalytic activity of p70-S6K, indicating that denervation causes in fact activation of mTORC1[385]. In 2014, Tang and colleagues proved that rapamycin, an inhibitor of mTORC1 which lacks intrinsic anabolic properties, abolishes denervation-induced loss of muscle mass[379].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loss[386]. Others showed that denervation upregulates lysosomal enzyme cathepsin L[387], while a third group claimed that denervation causes buildup of the autophagosomal marker, microtubule-associated protein 1 light chain 3 (LC3)</w:t>
      </w:r>
    </w:p>
    <w:p w:rsidR="005B49F7" w:rsidRDefault="00B8613D">
      <w:pPr>
        <w:ind w:left="25" w:right="15"/>
      </w:pPr>
      <w:r>
        <w:t>[388]. However, most experiments refuted the role of autophagy in GAML. The lysosomal inhibitors leupeptin, methylamine, and E64-c have minimal effects on the release of free tyrosine from denervated muscle[373]. Transgenic mice expressing LC3 fused with green fluorescent protein (GFP) exhibit a loss of autophagosomes in denervated muscles[385].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hindlimb[391]. In horses, the action of Dexa on glycogen regulating pathways was replicated, but muscle mass was not measured[392].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Dexa[393]. In contrast to rodents, a putative mediator of GAML, myostatin, is downregulated in bulls’ muscle by Dexa[394].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markers[395]. Another article describes GAML in rabbits, and attributes it to, unusually, lysosome upregulation[396].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rats[397]. It is unclear whether this resistance extends to protein metabolism. The first study of mouse GAML was published in 1964[398].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atrophy[399]. In rat muscle, chronic Dexa treatment upregulates expression of the NMJ essential component, muscle-specific nicotinic acetylcholine receptor, and resistance to NMJ-specific non-depolarizing muscle relaxants[400].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Moreover, Dexa has hyperplastic and hypertrophic effects on myogenic cell lines. Commonly tested doses of Dexa, in the range of tens of nM, have been shown to synergize with IGF-I [402] and even to act directly towards improved proliferation of L6 myoblasts[403, 404]. C2C12 fusion is more efficient when Dexa is added to IGF-I[91].</w:t>
      </w:r>
    </w:p>
    <w:p w:rsidR="005B49F7" w:rsidRDefault="00B8613D">
      <w:pPr>
        <w:ind w:left="15" w:right="15" w:firstLine="432"/>
      </w:pPr>
      <w:r>
        <w:t xml:space="preserve">Until the end of the 1990s, Dexa was a common ingredient in myogenic culture media[405].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(REDD1)[91]. Conversely, the synergy with Dexa amplifies some of insulin and IGF-I effects, such as Akt phosphorylation on Ser 473[405].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 xml:space="preserve">treatment on rats allow the classification of GCs in two subsets[407].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force[408]. GAML is an organized process, lacking the microscopic features of necrosis[409]. Although Dexa temporarily reduces food intake, possibly through stimulation of leptin secretion[410], pair-feeding experiments demonstrated that the GAML is not solely the effect of changes in </w:t>
      </w:r>
      <w:r>
        <w:lastRenderedPageBreak/>
        <w:t>appetite[411, 412]. In response to Dexa, rat myofibers undergo reductions in CSA, to an ampler degree in fast twitch fibers[413, 414]. Dexa-induced loss of muscle mass is present, although less manifest, in female rats, possibly because, in males, hypercortisolism is compounded by a reduction in circulating Testo levels[413].</w:t>
      </w:r>
    </w:p>
    <w:p w:rsidR="005B49F7" w:rsidRDefault="00B8613D">
      <w:pPr>
        <w:ind w:left="15" w:right="15" w:firstLine="432"/>
      </w:pPr>
      <w:r>
        <w:t>The nitrogen imbalance induced by Dexa slows down by the third day, and is compensated around the seventh day of treatment[415,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 xml:space="preserve">The loss of muscle in the Dexa-treated adult rat is the result of an increase in protein degradation. The 1969 Goldberg study on atrophy revealed that cortisone induced an even ampler upregulation of proteolysis than denervation[372].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unchanged[411]. Dexa-stimulated proteolysis affects the contractile apparatus, as indicated by the doubling of urinary 3-MH output[419].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MG132[421], or depleted of ATP by a combination of the mitochondrial decoupling agent dinitrophenol and the unlysable glucose homologue,</w:t>
      </w:r>
    </w:p>
    <w:p w:rsidR="005B49F7" w:rsidRDefault="00B8613D">
      <w:pPr>
        <w:spacing w:after="182" w:line="259" w:lineRule="auto"/>
        <w:ind w:left="25" w:right="15"/>
      </w:pPr>
      <w:r>
        <w:t>2-deoxyglucose[422]. Proteasome chymotrypsin-like catalytic activity is doubled by Dexa[423]. Dexa upregulates proteasomal subunits such as C1, C2, C4, C5</w:t>
      </w:r>
    </w:p>
    <w:p w:rsidR="005B49F7" w:rsidRDefault="00B8613D">
      <w:pPr>
        <w:spacing w:after="182" w:line="259" w:lineRule="auto"/>
        <w:ind w:left="25" w:right="15"/>
      </w:pPr>
      <w:r>
        <w:t>[411, 421].</w:t>
      </w:r>
    </w:p>
    <w:p w:rsidR="005B49F7" w:rsidRDefault="00B8613D">
      <w:pPr>
        <w:ind w:left="15" w:right="15" w:firstLine="432"/>
      </w:pPr>
      <w:r>
        <w:t xml:space="preserve">In cultured myotubes treated with 100 nM to 1000 nM D, the loss of diameter is reliably underlined by an 20% increase in protein degradation rate[424, 406]. Between 78% and 95% of the Dexa-induced proteolysis augmentation is lost, when proteasome inhibitors, such as beta-lactone or MG-132, are co-administered[424, 425]. Demonstrating proteasome’s primacy, MG-132 has this overriding effect even co-administered as an addition to a cocktail of lysosome and calpain inhibitors[421]. Co-administration of dinitrophenol essentially abolishes Dexa-induced proteolysis[424]. GAML dependence on ATP reinforces the idea that GC-stimulated proteolysis takes place in the proteasome. </w:t>
      </w:r>
      <w:r>
        <w:lastRenderedPageBreak/>
        <w:t>In contrast, lysosomal inhibitors had no effect, while E-64 has minimal effect[424].</w:t>
      </w:r>
    </w:p>
    <w:p w:rsidR="005B49F7" w:rsidRDefault="00B8613D">
      <w:pPr>
        <w:ind w:left="15" w:right="15" w:firstLine="432"/>
      </w:pPr>
      <w:r>
        <w:t>In L6 myotubes, Dexa causes increased expression of the ubiquitin gene UbC, through a putative SV40 promoter-specific 1 (Sp1) response element[426]. In vivo, upregulation of UbC was confirmed only for acute Dexa treatment[420] and in diabetic rats[427].</w:t>
      </w:r>
    </w:p>
    <w:p w:rsidR="005B49F7" w:rsidRDefault="00B8613D">
      <w:pPr>
        <w:ind w:left="15" w:right="15" w:firstLine="432"/>
      </w:pPr>
      <w:r>
        <w:t>One of the most tempting hypotheses attributed a role to NF-κB, a mediator of cancer cachexia (reviewed in [428]). However, the few reports are contradictory. In L6 myotubes, Dexa stimulates acetylation and nuclear translocation of the translational activator p65[429], seemingly in consonance with cancer cachexia. But in contradiction to such parallels, Dexa was shown to inhibit NF-κB signals by upregulating inhibitory κBα (IκBα)[430]. Moreover, Dexa’s inhibition of NF-κB was shown to be necessary for proteasomal subunit C3 upregulation in the same L6 cells[431].</w:t>
      </w:r>
    </w:p>
    <w:p w:rsidR="005B49F7" w:rsidRDefault="00B8613D">
      <w:pPr>
        <w:spacing w:after="176"/>
        <w:ind w:left="15" w:right="15" w:firstLine="432"/>
      </w:pPr>
      <w:r>
        <w:t>Unbiased searches in atrophying mouse muscles revealed two upregulated genes, termed atrogenes, MAFbx and MuRF1[227].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model[227], only MuRF1, but not MAFbx genetic depletion spares muscle treated with Dexa[432].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promoter[433, 434]. Indicating a lower amplitude and / or higher variability in MAFbx, unbiased searches in rat GAML failed to identify MAFbx as a target of Dexa[435].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differentiation[436]. MAFbx is induced in muscle during hypertrophy from reloading[437]. Moreover, MAFbx knockout abolishes hypertrophy of loading[438]. In contrast to denervation atrophy, it appears that remodeling in GAML is minimal. Supporting this distinction, denervation is a stronger upregulator myogenin than Dexa[439]. Since MAFbx promoter is activated by myogenin [378],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([440, 441], reviewed in [108]).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beta-subunit[442]. The loss of the latter, but not the former group, was confirmed in the transgenic mouse overexpressing MuRF1[443]. In vitro, MuRF1 ubiquitinates myosin heavy chains[444] and actin[445].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mediation[446]. The sparing of MuRF1 knockout mice revelats its central role in GAML[432].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upregulation[447]. In cultured cells, Dexa upregulates the nuclear cofactor p300[448]. Dexa also upregulates acetylation and nuclear translocation of C/EBP β, in a p300 dependent-manner[429].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hyperglycemia[412]. On one hand, Dexa induces concerted catabolic changes which eventually converge to hyperglycemia, and consequent hyperinsulinemia. Together, these yield a higher index of homeostatic model assessment - insulin resistance (HOMA-IR)[450]. On the other, Dexa-induced hyperinsulinemia fails to trigger its typical anabolic program in muscle. For example, Dexa overrides insulin to reduce muscle glucose uptake[451]. Dexa does not alter expression and activity of hexokinase, and of glucose transporter (GLUT) 4 expression[452], but inhibits GLUT4 recruitment to the cell membrane[451, 452]. Because translocation of GLUT4 in response to insulin is fundamentally dependent on</w:t>
      </w:r>
    </w:p>
    <w:p w:rsidR="005B49F7" w:rsidRDefault="00B8613D">
      <w:pPr>
        <w:ind w:left="25" w:right="15"/>
      </w:pPr>
      <w:r>
        <w:t xml:space="preserve">Akt[453],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phosphorylation, compared to untreated animals [457]. The suppression of insulin sensitivity at IRS level has been attributed, based on observational studies, to an improved protection of IRS by calmodulin[458], to an inhibitory phosphorylation on another residue, possibly by PKC[459, 456], or to the upregulated phosphatase C1-Ten[460]. In C2C12 myotubes, Dexa may downregulate IRS through caveolin repression[418].</w:t>
      </w:r>
    </w:p>
    <w:p w:rsidR="005B49F7" w:rsidRDefault="00B8613D">
      <w:pPr>
        <w:ind w:left="15" w:right="15" w:firstLine="432"/>
      </w:pPr>
      <w:r>
        <w:t>The notion that Dexa interferes with IGF-I signaling suggested that GAML also attenuates downstream MAPK response (reviewed in [461]).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rats[427]. Others describe increased Erk phosphorylation in L6 myotubes during acute Dexa[463]. Nevertheless, no reports describe such changes in wild-type animals, which still undergo GAML. Measurements of changes in activation of another MAPK, p38, are contradictory[464,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 xml:space="preserve">In addition to interference at IRS level, Dexa hinders the recruitment of PI3K to the membrane complex containing insulin receptor and IRS1[450, 457]. </w:t>
      </w:r>
      <w:r>
        <w:lastRenderedPageBreak/>
        <w:t>Mutagenic studies demonstrate that GR’s transcriptional and DNA binding domains are required, in order for it to inhibit p70-S6K[466].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α[450, 467, 468], whose expression is upregulated in vivo by Dexa[435]. The other contends that activated GR binds p85 in a competitive manner, thus displacing it from IRS1[469].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(reviewed in [470]).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Dexa[471].</w:t>
      </w:r>
    </w:p>
    <w:p w:rsidR="005B49F7" w:rsidRDefault="00B8613D">
      <w:pPr>
        <w:ind w:left="15" w:right="15" w:firstLine="432"/>
      </w:pPr>
      <w:r>
        <w:t xml:space="preserve">In other systems, the other relevant Akt phosphorylation site, Ser 473, is paralleling the changes in Thr 308. Even in GAML, Dexa lowers insulin’s ability to upregulate Ser 473 phosphorylation[471,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immunoblot[471, 457, 472, 399]. Even in cultured cells, Akt phosphorylation is too low to be quantified[473, </w:t>
      </w:r>
      <w:r>
        <w:lastRenderedPageBreak/>
        <w:t>446, 474]. To establish whether Dexa has an effect on Ser 473, one had to use an insulin or IGF-I challenge. Lately, the use of phospho-specific antibodies brought about a series of reports where Ser 473 phosphorylation appeared measurable[475,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mechanisms[478]. In vitro manipulations indicate that the two sites synergize for maximal Akt activation[479]. The interdependence between Ser 473 and Thr 308 is illustrated by the fact that non-mutagenic in vivo experiments rarely describe Akt activation without phosphorylation at both residues (reviewed in [480]).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More evidence for Dexa-induced inhibition of Akt comes from its substrates, such as Ser 9 on GSK3-β. Chronic Dexa reduces GSK3-β phosphorylation at Ser 9, thus leading to GSK3-β activation [471].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rate[482, 483, 471]. Among the many substrates of GSK3-β, the subunit ε of the eukaryotic initiation factor 2B (eIF2B) may mediate an anti-anabolic effect[484]. In cultured myotubes, GSK3-β knockdown reduces Dexa ability to upregulate MAFbx[485]. While inactivation of GSK3-β is typically attributed to latent Akt inhibition, the Ser 9 site is also a target for ribosomal protein S6 kinase, 90kDa (p90-RSK), serum and glucocorticoid-inducible kinase-like kinase (SGKL), and p70-S6K[486,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(reviewed in [490,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AMPK[496, 497]. However, Dexa inhibits muscle AMPK phosphorylation and activity[472, 498], probably as a consequence of intramuscular ATP upregulation[499]. The surge in intramuscular ATP is caused by Dexa-induced improvements in mitochondrial function, exemplified by upregulation of cytochrome c oxidase expression and activity[500] and of Na(+)-K(+)-ATPase expression and maximal activity[501]. Chronic Dexa or corticosterone do not alter Liver Kinase B1 (LKB1)[472,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atrophy[495, 503]. In cell culture, REDD1 interferes with 14-3-3 in order to release TSC2, restore TSC1-TSC2 complexes, and eventually inhibit mTORC1[504]. Moreover, REDD1 is in epistasis with AMPK[505],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phosphorylation[506]. Chronic Dexa changes 4E-BP and p70-S6K phosphorylation in a pattern that mirrors Akt activation, with no detectable Dexa effect on their basal phosphorylation, and a Dexa-induced loss of sensitivity to insulin[507, 454]. Conversely, insulin sensitivity at 4E-BP and p70-S6K is enhanced by removal of endogenous GC, through adrenalectomy[508,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co-administration[454], suggesting that mTOR signaling is dispensable. In a C2C12 microarray study, interference of IGF-I transcriptional program with PI3K inhibitor was virtually identical to the interference induced by rapamycin[510],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Diverging from in vivo studies, some studies showed that L6 and C2C12 myotubes exhibit Dexa-induced downregulation of p70-S6K Thr 389 and 4B-EP phosphorylation and activities, even in the absence of an anabolic stimulus [511, 435, 473]. It is unclear whether the difference between in vivo and in vitro studies of mTORC1 substrates is caused by the use of different anabolic stimuli.</w:t>
      </w:r>
    </w:p>
    <w:p w:rsidR="005B49F7" w:rsidRDefault="00B8613D">
      <w:pPr>
        <w:ind w:left="25" w:right="15"/>
      </w:pPr>
      <w:r>
        <w:t>Whereas in vivo studies use insulin to elicit an Akt response whose modulation by GC is measurable, in vitro studies commonly use IGF-I (for example, [446]). One reason could be the remarkable hyperplastic abilities of insulin[512],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 xml:space="preserve">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([514]; reviewed in [515]).</w:t>
      </w:r>
    </w:p>
    <w:p w:rsidR="005B49F7" w:rsidRDefault="00B8613D">
      <w:pPr>
        <w:ind w:left="15" w:right="15" w:firstLine="432"/>
      </w:pPr>
      <w:r>
        <w:t>The most robust inducer of REDD1 is hypoxia, through HIF transcription factors[515]. As described in the dedicated section, HIF1a also induces VEGF, which in turn has a myoprotective action. But in GAML, VEGF is downregulated[516],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expression[435]. Foxo1 promoter contains a GR response element[517]. In C2C12 myotubes, the response is biphasic, combining a short-lived ample and rapid increase, with a gentler long term augmentation[436]. Foxo promoters contain GR-binding sites[518]. In vitro,</w:t>
      </w:r>
    </w:p>
    <w:p w:rsidR="005B49F7" w:rsidRDefault="00B8613D">
      <w:pPr>
        <w:ind w:left="25" w:right="15"/>
      </w:pPr>
      <w:r>
        <w:t>Foxo induction by GR is facilitated by the histone acetyl transferases p300 and CREB-binding protein, which are independently upregulated by Dexa[449]. As a consequence, GR knockout reduces expression of FOXO1 and FOXO3a in muscle[433].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(reviewed in [519]).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detected[383, 520]. A few groups reported reductions in Foxo phosphorylation by chronic Dexa at basal state in vivo[521,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muscle[523]. In particular, Dexa represses muscle PGC-1α[464, 522] and PGC-1β[524]. In cultured myotubes, PGC-1β overexpression and knockdown cause changes in the reverse direction for Foxo3a and atrogenes’ mRNA. Because PGC-1α overexpression drives conversion of fast to slow twitch fibers[352], it has been speculated that differences in PGC-1α levels make different types of muscle fiber more or less sensitive to Dexa[384]. A whole higher level of regulation of is yet to be studied, with PGC-1α splicing dictating its role more. For example, isoform 1, and not 4, of PGC-1α is correlated with muscle hypertrophy[525].</w:t>
      </w:r>
    </w:p>
    <w:p w:rsidR="005B49F7" w:rsidRDefault="00B8613D">
      <w:pPr>
        <w:ind w:left="15" w:right="15" w:firstLine="432"/>
      </w:pPr>
      <w:r>
        <w:lastRenderedPageBreak/>
        <w:t>Fourth, indirect evidence links Foxo1 to PPARβ/δ. Dexa stimulates simultaneously PPARβ/δ DNA binding and Foxo1 acetylation[526]. PPARβ/δ inhibition reduces GAML and, at the same time, prevents Dexa-stimulated acetylation of Foxo1. While the direct effects of this post-transcriptional modification is not elucidated (reviewed in [527,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Foxo[464]. More convincing evidence towards Foxo activation comes from the concordance in its downstream effects. For example, Dexa increases muscle glutamine synthetase activity[530]. Glutamine synthetase promoter contains a FOXO response element. Dexa-induced expression of muscle glutamine synthetase is absent in Foxo1 knockout[531].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myotubes[520, 532].</w:t>
      </w:r>
    </w:p>
    <w:p w:rsidR="005B49F7" w:rsidRDefault="00B8613D">
      <w:pPr>
        <w:ind w:left="15" w:right="15" w:firstLine="432"/>
      </w:pPr>
      <w:r>
        <w:t>Among the Foxo-induced genes, a special importance was given to the E3 ligases associated with muscle loss, MAFbx and MuRF1[446]. Both atrogenes contain FOXO-binding regions in their promoter[520, 533, 433]. These Foxo-responsive elements are in close proximity of SMAD3-binding elements, in a shared response element which facilitates synergistic interactions between the two classes of transcription factors[534]. MuRF1 promoter facilitates another synergistic interaction, between FOXO1 and GR[433]. A positive feedback loop links MuRF1 and FOXO1, as indicated by downregulation of p85 and FOXO1 in late GAML in the MuRF1 knockout[417].</w:t>
      </w:r>
    </w:p>
    <w:p w:rsidR="005B49F7" w:rsidRDefault="00B8613D">
      <w:pPr>
        <w:ind w:left="15" w:right="15" w:firstLine="432"/>
      </w:pPr>
      <w:r>
        <w:lastRenderedPageBreak/>
        <w:t>In both atrogenes’ promoter, a KLF-15 response element is located, near the FOXO binding site[535].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upregulation[536]. In cultured myotubes, where transfection of constitutively active FOXO3a upregulates MAFbx[520], while knocking down FOXO1 causes a reduction in the atrogene response to GC[537].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muscle[539]. In myostatin knockout mice, Dexa induces most of its transcriptional program, including modulations of IGF-I, MuRF1, MAFbx, FOXO3A, but Dexa-induced muscle loss does not occur [423]. These findings suggest that myostatin is an important mediator of Dexa.</w:t>
      </w:r>
    </w:p>
    <w:p w:rsidR="005B49F7" w:rsidRDefault="00B8613D">
      <w:pPr>
        <w:ind w:left="15" w:right="15" w:firstLine="432"/>
      </w:pPr>
      <w:r>
        <w:t>Myostatin’s promoter contains GR response element[539], a FOXO responsive element[540], and a CCAAT sequence[541], all known to be stimulated by Dexa. Myostatin expression is also upregulated by the histone methyltransferase SMYD 3, which in turn is upregulated in muscle by Dexa[542]. The stability of the myostatin transcript is improved by Dexa-exerted repression of its negative regulators, miR-27[543].</w:t>
      </w:r>
    </w:p>
    <w:p w:rsidR="005B49F7" w:rsidRDefault="00B8613D">
      <w:pPr>
        <w:ind w:left="15" w:right="15" w:firstLine="432"/>
      </w:pPr>
      <w:r>
        <w:lastRenderedPageBreak/>
        <w:t>Glutamine supplementation reduces GAML and myostatin expression in muscle[544].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animals[225], its overexpression in adult animals causes a more moderate effect[545],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 xml:space="preserve">A series of experiments describe Akt inhibition in response to myostatin treatments. In vivo electroporation with myostatin-coding plasmids leads to 10% loss in tibialis anterior mass in the transfected muscle, in the absence of any changes at the level of atrogenes[547].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model, myostatin treatments lead to reductions in diameter and atrogene downregulation [548].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regeneration[549, 550].</w:t>
      </w:r>
    </w:p>
    <w:p w:rsidR="005B49F7" w:rsidRDefault="00B8613D">
      <w:pPr>
        <w:ind w:left="15" w:right="15" w:firstLine="432"/>
      </w:pPr>
      <w:r>
        <w:t>The study on human myotubes[548]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myotubes[551]. Myostatin’s action appears more relevant for processes where myoblasts or satellite cells are involved, such as muscle development and regeneration (reviewed in [552,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 xml:space="preserve">Dexa for 6 days, compared to pair-fed animals, in the epitrochlearis muscle[411, 556]. In two </w:t>
      </w:r>
      <w:r>
        <w:lastRenderedPageBreak/>
        <w:t>other studies, assaying other glycolytic muscles or quadrupling the Dexa dose, led to observable reductions in protein FSR[557, 454]. In cell cultures, Dexa inhibition of protein synthesis should be more readily detectable, given that, in vitro, Dexa affects 4E-BP phosphorylation directly, even in basal state[473].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another[406, 558].</w:t>
      </w:r>
    </w:p>
    <w:p w:rsidR="005B49F7" w:rsidRDefault="00B8613D">
      <w:pPr>
        <w:ind w:left="15" w:right="15" w:firstLine="432"/>
      </w:pPr>
      <w:r>
        <w:t>Even when detected, the amplitude of changes in protein synthesis in vitro[558, 559, 560] and in vivo[329] is lower than that on protein degradation, when Dexa is given at the dose that causes muscle loss. In contrast, doses of Dexa below the apparent EC50 are unable to change protein degradation rate, while still lowering protein synthesis rate[336].</w:t>
      </w:r>
    </w:p>
    <w:p w:rsidR="005B49F7" w:rsidRDefault="00B8613D">
      <w:pPr>
        <w:ind w:left="15" w:right="15" w:firstLine="432"/>
      </w:pPr>
      <w:r>
        <w:t>In the MuRF1 knockout mouse, Dexa fails to change FSR[432],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polyribosomes[561]. The proportion of polysomes recovers to basal level in less than 24 hours, when the GC is short-acting prednisone[407]. In contrast, polysome downregulation lasts about two days after Dexa. No published accounts describe polysome profile changes after longer GC exposure.</w:t>
      </w:r>
    </w:p>
    <w:p w:rsidR="005B49F7" w:rsidRDefault="00B8613D">
      <w:pPr>
        <w:ind w:left="15" w:right="15" w:firstLine="432"/>
      </w:pPr>
      <w:r>
        <w:t xml:space="preserve">Dexa has a dual effect on 4E-BP, the inhibitor of protein synthesis that binds and inhibits the eukaryotic initiation eIF4E. First, Dexa upregulates 4E-BP mRNA[435]. It was long believed 4E-BP induction is direct, and based on a Foxo response element in 4E-BP promoter[562].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4E-BP1[563].</w:t>
      </w:r>
    </w:p>
    <w:p w:rsidR="005B49F7" w:rsidRDefault="00B8613D">
      <w:pPr>
        <w:ind w:left="15" w:right="15" w:firstLine="432"/>
      </w:pPr>
      <w:r>
        <w:t>Dexa upregulates mitogen-activated protein kinase–interacting kinase 2 (MNK2) expression[564]. Dexa reduces eIF4G Ser 1108 phosphorylation in wild type mice, but not in MNK2 knockout mice. This posttranslational modification correlates with nutrient availability, but its role in GAML or in general is not known (reviewed in [565]).</w:t>
      </w:r>
    </w:p>
    <w:p w:rsidR="005B49F7" w:rsidRDefault="00B8613D">
      <w:pPr>
        <w:ind w:left="15" w:right="15" w:firstLine="432"/>
      </w:pPr>
      <w:r>
        <w:t>In C2C12 myotubes, GAML may repress protein synthesis by MAFbx-initiated neutralization of eIF3-f[441].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(reviewed in [567]).</w:t>
      </w:r>
    </w:p>
    <w:p w:rsidR="005B49F7" w:rsidRDefault="00B8613D">
      <w:pPr>
        <w:ind w:left="25" w:right="15"/>
      </w:pPr>
      <w:r>
        <w:t xml:space="preserve">Relative lack of amino acids enriches uncharged tRNA, which bind and activates General Control Nonderepressible 2 (GCN2)[568]. Activated GCN2 phosphorylates eukaryotic initiation factor 2 (eIF2) at Ser 51 on its α subunit, leading to the formation of an inactivating complex with eIF2B[569]. The </w:t>
      </w:r>
      <w:r>
        <w:lastRenderedPageBreak/>
        <w:t>inactivation of eIF2B, the guanine exchange factor for eIF2, leads to general translation shutdown[570].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starvation[572].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medium[573].</w:t>
      </w:r>
    </w:p>
    <w:p w:rsidR="005B49F7" w:rsidRDefault="00B8613D">
      <w:pPr>
        <w:ind w:left="15" w:right="15" w:firstLine="432"/>
      </w:pPr>
      <w:r>
        <w:t>Unexpectedly, in C2C12 myotubes, ATF4 protein levels are upregulated by insulin in a rapamycin-dependent manner[573].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B8613D">
      <w:pPr>
        <w:spacing w:after="182" w:line="259" w:lineRule="auto"/>
        <w:ind w:left="25" w:right="15"/>
      </w:pPr>
      <w:r>
        <w:t>[411, 575, 436]. In L6 myotubes, Dexa upregulates cathepsin B[424].</w:t>
      </w:r>
    </w:p>
    <w:p w:rsidR="005B49F7" w:rsidRDefault="00B8613D">
      <w:pPr>
        <w:ind w:left="15" w:right="15" w:firstLine="432"/>
      </w:pPr>
      <w:r>
        <w:t xml:space="preserve">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(reviewed in [576]). LC3-II is enriched in C2C12 myotubes overexpressing LC3[574] and in L6 myotubes[463]. Similar to the microscopy experiments, these reports use acute Dexa treatments. Moreover, a time course reveals that in L6 myotubes, LC3-II peaks at 6 hours and is extinguished at 24 hours after Dexa administration[577].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protein[503]. Recently, the enrichment of LCII-B after chronic Dexa has been reported[578].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proteolysis[383]. As mentioned earlier, mTORC1 is a negative regulator of autophagy, whose inhibition in GAML is hypothesized to stimulate autophagy. Indeed, acute Dexa administration reduces ULK1 phosphorylation at Ser 575, the mTOR-specific, inhibitory site[503].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upregulated[503].</w:t>
      </w:r>
    </w:p>
    <w:p w:rsidR="005B49F7" w:rsidRDefault="00B8613D">
      <w:pPr>
        <w:ind w:left="25" w:right="15"/>
      </w:pPr>
      <w:r>
        <w:t>Acute Dexa increases expression of the mitophagy effector Bnip3[503, 463]. In C2C12, acute Dexa upregulates expression of lysosomal markers such as autophagy-related 12 (Atg12)[529].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[581]). Transgenic mice overexpressing calpastatin have 30% lower loss of muscle upon unloading[582],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Dexa[411]. In L6 myotubes, calpastatin overexpresion halves Dexa-induced proteolysis[583]. Still in L6 myotubes, Dexa promotes store-operated calcium entry, the mechanism by which intracellular Ca concentration is increased when ER stores are depleted[584].</w:t>
      </w:r>
    </w:p>
    <w:p w:rsidR="005B49F7" w:rsidRDefault="00B8613D">
      <w:pPr>
        <w:spacing w:after="176"/>
        <w:ind w:left="15" w:right="15" w:firstLine="432"/>
      </w:pPr>
      <w:r>
        <w:lastRenderedPageBreak/>
        <w:t>It has been speculated that activations of calpains is an initial step in GAML, allowing myofibril protein to interact with MuRF1[585].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atrophy[590]. In Dexa-treated rats, co-administration of IGF-I reduces loss of muscle mass, fiber atrophy, and 3MH release[591], thus providing a blueprint for the ideal anti-GAML therapy.</w:t>
      </w:r>
    </w:p>
    <w:p w:rsidR="005B49F7" w:rsidRDefault="00B8613D">
      <w:pPr>
        <w:ind w:left="15" w:right="15" w:firstLine="432"/>
      </w:pPr>
      <w:r>
        <w:t>Co-administration of IGF-I reverses upregulation of ubiquitin, and of proteasome subunits C2 C3, C8[592, 593], thus blunting one of the major effectors of GAML, the ubiquitin-proteasome system. But Dexa antagonizes IGF-I on many other downstream effects, such as glutamine synthesis[594].</w:t>
      </w:r>
    </w:p>
    <w:p w:rsidR="005B49F7" w:rsidRDefault="00B8613D">
      <w:pPr>
        <w:ind w:left="15" w:right="15" w:firstLine="432"/>
      </w:pPr>
      <w:r>
        <w:t>In vivo, Dexa reduces muscle expression of IGF-I[595, 200], and possibly interferes by altering IGFBP secretion[435]. Therefore, GAML manifests as an absolute loss of IGF-I exacerbated by a downstream inhibition. Intuitively, IGF-I supplementation may provide GAML alleviation.</w:t>
      </w:r>
    </w:p>
    <w:p w:rsidR="005B49F7" w:rsidRDefault="00B8613D">
      <w:pPr>
        <w:ind w:left="15" w:right="15" w:firstLine="432"/>
      </w:pPr>
      <w:r>
        <w:t xml:space="preserve">Despite the positive results seen in rodents (described above), very few studies analyzed molecular mechanisms by which IGF-I works in vivo. Because co-administration of GH cannot reverse muscle loss from Dexa or triamcinolone[596,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degradation[597]. Nevertheless, myotubes treated with Dexa, co-administration of IGF-I has an anti-proteolytic effect[597]. The reduction in proteolysis covers all domains, but, in acute settings, appears more effective in repressing lysosomal than proteasomal activity[598]. IGF-I co-administration reverses MAFbx and MuRF1 upregulation[489, 433], in a Foxo dependent manner. During co-administration, Dexa is still able to upregulate protein levels of Foxo transcription factors, but IGF-I appears to counter them by increasing their phosphorylation[446] and reducing its ability to bind MuRF1 promoter[433]. The IGF-I induced FOxo phosphorylation is consonant with upstream </w:t>
      </w:r>
      <w:r>
        <w:lastRenderedPageBreak/>
        <w:t>modulations of the Akt axis. First, IGF-I co-administration in cells treated with Dexa causes myoprotective increases in phosphorylation of Akt, GSK-3β, p70-S6K and 4E-BP1[599, 600]. Second, studies with chemical inhibitors revealed that IGF-I protective effect is mediated by Akt and PI3K[599].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type[602]. Muscle growth and recovery is halved by rapamycin, indicating that other anabolic mediators are as important as the Akt / mTOR pathway [603,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range[606]. In vitro Dexa doses used in muscle atrophy experiments range in the tens of hundred nanomolar. Similar concentrations are likely in the blood of mice injected with the 0.5-1 g/kg doses described before. At a concentration of 2 pM in rat skeletal muscle[607], virtually all GR should be bound to Dexa. On the other hand, Ki for</w:t>
      </w:r>
    </w:p>
    <w:p w:rsidR="005B49F7" w:rsidRDefault="00B8613D">
      <w:pPr>
        <w:ind w:left="25" w:right="15"/>
      </w:pPr>
      <w:r>
        <w:t>Testo competing with Dexa for binding to muscle protein extracts is 10 uM[608].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translation[613]. Two later studies on L6 myotubes stated that AAS cannot reverse the downregulation of protein synthesis induced by Dexa[587, 614]. A study on C2C12 myotubes also rejected an action of Testo on protein metabolism, despite a trend for improved protein synthesis and reduced protein degradation when 1 µM Testo is added to 100 nM Dexa[559].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castration[615, 616], suggesting a way by which castration causes muscle atrophy. Conversely, Dexa reduces the expression of AR in skeletal muscle[200]. Hypercortisolism reduces endogenous Testo levels in male rats, thus leading to ampler loss of muscle than in females, which experience Testo upregulation[413].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elements[539]. In intact animals and even in atrophic muscle after spinal cord injury, Testo does not alter myostatin[617,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expression[619, 620]. However, Testo is dispensable for IGF-I upregulation during exercise-induced muscle hypertrophy[621]. Conversely, IGF-I signaling deprivation only halves T-induced muscle restoration after castration-induced atrophy[622].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 xml:space="preserve">T[521]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Dexa[624]. They ascribed this alleviation to a reduction in proteolysis and atrogenes expression. In preliminary studies on L6 and C2C12 myotubes overexpressing AR, they found that Testo co-administration reverses transcriptional upregulation of REDD1 and MAFbx[625, 435].</w:t>
      </w:r>
    </w:p>
    <w:p w:rsidR="005B49F7" w:rsidRDefault="00B8613D">
      <w:pPr>
        <w:ind w:left="15" w:right="15" w:firstLine="432"/>
      </w:pPr>
      <w:r>
        <w:t>Arguably, the most important contribution they made is the first microarray study on alleviation of GAML with 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phenyl alanine,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 xml:space="preserve">L radioactive (³H-[ring])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 alanine made no difference to the rate of tracer release, compared to differentiation medium alone (data not shown). This is plausible, because differentiation medium already contains 0.4 mM phenyl alanine,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phenyl alanine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B8613D" w:rsidRDefault="00B8613D">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B8613D" w:rsidRDefault="00B8613D">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B8613D" w:rsidRDefault="00B8613D">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B8613D" w:rsidRDefault="00B8613D">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B8613D" w:rsidRDefault="00B8613D">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 xml:space="preserve">5-(1-methylcyclohexen-3-y1)-1H-[1]benzopyrano[3,4-f]quinoline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Merck &amp; Co., Inc. Dexamethasone tablets [package insert], 2004.</w:t>
      </w:r>
    </w:p>
    <w:p w:rsidR="005B49F7" w:rsidRDefault="00B8613D">
      <w:pPr>
        <w:numPr>
          <w:ilvl w:val="0"/>
          <w:numId w:val="4"/>
        </w:numPr>
        <w:spacing w:after="188" w:line="259" w:lineRule="auto"/>
        <w:ind w:right="15" w:hanging="719"/>
      </w:pPr>
      <w:r>
        <w:lastRenderedPageBreak/>
        <w:t>Pharmacia and Upjohn and Company. Prednisone tablets [package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West-ward Pharmaceutical Corp. Hydrocortisone tablets [package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German Society of Endocrinology [and]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B8613D">
      <w:pPr>
        <w:spacing w:after="236" w:line="259" w:lineRule="auto"/>
        <w:ind w:left="703" w:right="15"/>
      </w:pPr>
      <w:r>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B8613D">
      <w:pPr>
        <w:spacing w:after="236" w:line="259" w:lineRule="auto"/>
        <w:ind w:left="703" w:right="15"/>
      </w:pPr>
      <w:r>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Sanofi Aventis US, LLC. Plaquenil (hydroxychloroquine sulfate) tablets, U.S.P [prescribing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B8613D">
      <w:pPr>
        <w:spacing w:after="236" w:line="259" w:lineRule="auto"/>
        <w:ind w:left="703" w:right="15"/>
      </w:pPr>
      <w:r>
        <w:t>[prescribing information], 2014.</w:t>
      </w:r>
    </w:p>
    <w:p w:rsidR="005B49F7" w:rsidRDefault="00B8613D">
      <w:pPr>
        <w:numPr>
          <w:ilvl w:val="0"/>
          <w:numId w:val="4"/>
        </w:numPr>
        <w:spacing w:after="47"/>
        <w:ind w:right="15" w:hanging="719"/>
      </w:pPr>
      <w:r>
        <w:t>Endo Pharmaceuticals Solutions Inc. Delatestryl (testosterone enanthate) injection [prescribing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3D" w:rsidRDefault="00B8613D">
      <w:pPr>
        <w:spacing w:after="0" w:line="240" w:lineRule="auto"/>
      </w:pPr>
      <w:r>
        <w:separator/>
      </w:r>
    </w:p>
  </w:endnote>
  <w:endnote w:type="continuationSeparator" w:id="0">
    <w:p w:rsidR="00B8613D" w:rsidRDefault="00B8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F174BB">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F174BB">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3D" w:rsidRDefault="00B8613D">
      <w:pPr>
        <w:spacing w:after="0" w:line="240" w:lineRule="auto"/>
      </w:pPr>
      <w:r>
        <w:separator/>
      </w:r>
    </w:p>
  </w:footnote>
  <w:footnote w:type="continuationSeparator" w:id="0">
    <w:p w:rsidR="00B8613D" w:rsidRDefault="00B8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97</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1" w:firstLine="0"/>
      <w:jc w:val="right"/>
    </w:pPr>
    <w:r>
      <w:fldChar w:fldCharType="begin"/>
    </w:r>
    <w:r>
      <w:instrText xml:space="preserve"> PAGE   \* MERGEFORMAT </w:instrText>
    </w:r>
    <w:r>
      <w:fldChar w:fldCharType="separate"/>
    </w:r>
    <w:r w:rsidR="002A25F1">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115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139</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150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252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2A25F1">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9134AF">
      <w:rPr>
        <w:noProof/>
      </w:rPr>
      <w:t>22</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9134AF">
      <w:rPr>
        <w:noProof/>
      </w:rPr>
      <w:t>21</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B3D4D"/>
    <w:rsid w:val="002248BA"/>
    <w:rsid w:val="002A25F1"/>
    <w:rsid w:val="00303F89"/>
    <w:rsid w:val="00355172"/>
    <w:rsid w:val="003B5EC8"/>
    <w:rsid w:val="00464C2C"/>
    <w:rsid w:val="005B49F7"/>
    <w:rsid w:val="005E210F"/>
    <w:rsid w:val="007B7E08"/>
    <w:rsid w:val="009134AF"/>
    <w:rsid w:val="00917AA5"/>
    <w:rsid w:val="00B54EA7"/>
    <w:rsid w:val="00B8613D"/>
    <w:rsid w:val="00BB1112"/>
    <w:rsid w:val="00E54E29"/>
    <w:rsid w:val="00E62523"/>
    <w:rsid w:val="00F174BB"/>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DBEBF1-A13C-415C-8127-8BC79AC4B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275</Pages>
  <Words>64858</Words>
  <Characters>366452</Characters>
  <Application>Microsoft Office Word</Application>
  <DocSecurity>0</DocSecurity>
  <Lines>6914</Lines>
  <Paragraphs>2729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7</cp:revision>
  <dcterms:created xsi:type="dcterms:W3CDTF">2015-06-03T00:50:00Z</dcterms:created>
  <dcterms:modified xsi:type="dcterms:W3CDTF">2015-06-03T03:06:00Z</dcterms:modified>
</cp:coreProperties>
</file>